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CBA3F" w14:textId="77777777" w:rsidR="00205952" w:rsidRPr="00205952" w:rsidRDefault="00205952" w:rsidP="00205952">
      <w:pPr>
        <w:jc w:val="both"/>
        <w:rPr>
          <w:rFonts w:ascii="Calibri" w:hAnsi="Calibri" w:cs="Calibri"/>
          <w:b/>
          <w:bCs/>
          <w:lang w:val="en-US"/>
        </w:rPr>
      </w:pPr>
      <w:r w:rsidRPr="00205952">
        <w:rPr>
          <w:rFonts w:ascii="Calibri" w:hAnsi="Calibri" w:cs="Calibri"/>
          <w:b/>
          <w:bCs/>
          <w:lang w:val="en-US"/>
        </w:rPr>
        <w:t>ABSTRACT</w:t>
      </w:r>
    </w:p>
    <w:p w14:paraId="124411BB" w14:textId="77777777" w:rsidR="00205952" w:rsidRPr="00205952" w:rsidRDefault="00205952" w:rsidP="00205952">
      <w:pPr>
        <w:jc w:val="both"/>
        <w:rPr>
          <w:rFonts w:ascii="Calibri" w:hAnsi="Calibri" w:cs="Calibri"/>
          <w:b/>
          <w:bCs/>
          <w:lang w:val="en-US"/>
        </w:rPr>
      </w:pPr>
    </w:p>
    <w:p w14:paraId="784E6829" w14:textId="6FE0014F" w:rsidR="00205952" w:rsidRPr="00205952" w:rsidRDefault="00205952" w:rsidP="00205952">
      <w:pPr>
        <w:jc w:val="both"/>
        <w:rPr>
          <w:rFonts w:ascii="Calibri" w:hAnsi="Calibri" w:cs="Calibri"/>
          <w:lang w:val="en-US"/>
        </w:rPr>
      </w:pPr>
      <w:r w:rsidRPr="00205952">
        <w:rPr>
          <w:rFonts w:ascii="Calibri" w:hAnsi="Calibri" w:cs="Calibri"/>
          <w:b/>
          <w:bCs/>
          <w:lang w:val="en-US"/>
        </w:rPr>
        <w:t>Objective:</w:t>
      </w:r>
      <w:r w:rsidRPr="00205952">
        <w:rPr>
          <w:rFonts w:ascii="Calibri" w:hAnsi="Calibri" w:cs="Calibri"/>
          <w:lang w:val="en-US"/>
        </w:rPr>
        <w:t xml:space="preserve"> This paper examines the extent to which different corporate governance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mechanisms affect the recognition and measurement of goodwill impairment,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considering that these decisions are affected by a complex set of factors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such as variables associated with corporate governance, economic/financial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variables, and the market.</w:t>
      </w:r>
    </w:p>
    <w:p w14:paraId="067434D9" w14:textId="5CFE4345" w:rsidR="00205952" w:rsidRPr="00205952" w:rsidRDefault="00205952" w:rsidP="00205952">
      <w:pPr>
        <w:jc w:val="both"/>
        <w:rPr>
          <w:rFonts w:ascii="Calibri" w:hAnsi="Calibri" w:cs="Calibri"/>
          <w:lang w:val="en-US"/>
        </w:rPr>
      </w:pPr>
      <w:r w:rsidRPr="00205952">
        <w:rPr>
          <w:rFonts w:ascii="Calibri" w:hAnsi="Calibri" w:cs="Calibri"/>
          <w:b/>
          <w:bCs/>
          <w:lang w:val="en-US"/>
        </w:rPr>
        <w:t>Methodology:</w:t>
      </w:r>
      <w:r w:rsidRPr="00205952">
        <w:rPr>
          <w:rFonts w:ascii="Calibri" w:hAnsi="Calibri" w:cs="Calibri"/>
          <w:lang w:val="en-US"/>
        </w:rPr>
        <w:t xml:space="preserve"> We used data from 110 companies, both Spanish (75) and Portuguese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(35), with listed securities, in the period 2010–2016 (unbalanced panel),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and the path analysis method to infer financial and non-financial data relationships.</w:t>
      </w:r>
    </w:p>
    <w:p w14:paraId="332DEE8C" w14:textId="264BC8F6" w:rsidR="00205952" w:rsidRPr="00205952" w:rsidRDefault="00205952" w:rsidP="00205952">
      <w:pPr>
        <w:jc w:val="both"/>
        <w:rPr>
          <w:rFonts w:ascii="Calibri" w:hAnsi="Calibri" w:cs="Calibri"/>
          <w:lang w:val="en-US"/>
        </w:rPr>
      </w:pPr>
      <w:r w:rsidRPr="00205952">
        <w:rPr>
          <w:rFonts w:ascii="Calibri" w:hAnsi="Calibri" w:cs="Calibri"/>
          <w:b/>
          <w:bCs/>
          <w:lang w:val="en-US"/>
        </w:rPr>
        <w:t>Findings:</w:t>
      </w:r>
      <w:r w:rsidRPr="00205952">
        <w:rPr>
          <w:rFonts w:ascii="Calibri" w:hAnsi="Calibri" w:cs="Calibri"/>
          <w:lang w:val="en-US"/>
        </w:rPr>
        <w:t xml:space="preserve"> The results support the hypothesis that attributes linked to management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and internal and external control mechanisms, as well as economic/financial, market and location variables, are directly and indirectly associated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with the recognition of goodwill impairment.</w:t>
      </w:r>
    </w:p>
    <w:p w14:paraId="0A5BD2BD" w14:textId="6B93A5AE" w:rsidR="00205952" w:rsidRPr="00205952" w:rsidRDefault="00205952" w:rsidP="00205952">
      <w:pPr>
        <w:jc w:val="both"/>
        <w:rPr>
          <w:rFonts w:ascii="Calibri" w:hAnsi="Calibri" w:cs="Calibri"/>
          <w:lang w:val="en-US"/>
        </w:rPr>
      </w:pPr>
      <w:r w:rsidRPr="00205952">
        <w:rPr>
          <w:rFonts w:ascii="Calibri" w:hAnsi="Calibri" w:cs="Calibri"/>
          <w:b/>
          <w:bCs/>
          <w:lang w:val="en-US"/>
        </w:rPr>
        <w:t>Value Added:</w:t>
      </w:r>
      <w:r w:rsidRPr="00205952">
        <w:rPr>
          <w:rFonts w:ascii="Calibri" w:hAnsi="Calibri" w:cs="Calibri"/>
          <w:lang w:val="en-US"/>
        </w:rPr>
        <w:t xml:space="preserve"> This paper outlines a company behavioral profile where opportunity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seems to prevail over timely recognition and measurement of goodwill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impairment. Big bath practices appear to be well founded, as well as the alignment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of this strategy with market signals.</w:t>
      </w:r>
    </w:p>
    <w:p w14:paraId="0E1BB532" w14:textId="025EBE2F" w:rsidR="00205952" w:rsidRPr="00205952" w:rsidRDefault="00205952" w:rsidP="00205952">
      <w:pPr>
        <w:jc w:val="both"/>
        <w:rPr>
          <w:rFonts w:ascii="Calibri" w:hAnsi="Calibri" w:cs="Calibri"/>
          <w:lang w:val="en-US"/>
        </w:rPr>
      </w:pPr>
      <w:r w:rsidRPr="00205952">
        <w:rPr>
          <w:rFonts w:ascii="Calibri" w:hAnsi="Calibri" w:cs="Calibri"/>
          <w:b/>
          <w:bCs/>
          <w:lang w:val="en-US"/>
        </w:rPr>
        <w:t xml:space="preserve">Recommendations: </w:t>
      </w:r>
      <w:r w:rsidRPr="00205952">
        <w:rPr>
          <w:rFonts w:ascii="Calibri" w:hAnsi="Calibri" w:cs="Calibri"/>
          <w:lang w:val="en-US"/>
        </w:rPr>
        <w:t>To foster the adoption of accounting practices close to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the interests of all stakeholders, regulators should be encouraged to incentivize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corporate governance models that promote the periodic rotation of the chief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executive officer/chairman, the independence of all members of the statutory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t>audit board, and training in economic and financial areas.</w:t>
      </w:r>
    </w:p>
    <w:p w14:paraId="70B5B1C9" w14:textId="4EB79526" w:rsidR="00205952" w:rsidRPr="00205952" w:rsidRDefault="00205952" w:rsidP="008553C4">
      <w:pPr>
        <w:rPr>
          <w:rFonts w:ascii="Calibri" w:hAnsi="Calibri" w:cs="Calibri"/>
          <w:lang w:val="en-US"/>
        </w:rPr>
      </w:pPr>
      <w:r w:rsidRPr="00205952">
        <w:rPr>
          <w:rFonts w:ascii="Calibri" w:hAnsi="Calibri" w:cs="Calibri"/>
          <w:b/>
          <w:bCs/>
          <w:lang w:val="en-US"/>
        </w:rPr>
        <w:t>Key</w:t>
      </w:r>
      <w:r w:rsidRPr="00205952">
        <w:rPr>
          <w:rFonts w:ascii="Calibri" w:hAnsi="Calibri" w:cs="Calibri"/>
          <w:b/>
          <w:bCs/>
          <w:lang w:val="en-US"/>
        </w:rPr>
        <w:t xml:space="preserve"> </w:t>
      </w:r>
      <w:r w:rsidRPr="00205952">
        <w:rPr>
          <w:rFonts w:ascii="Calibri" w:hAnsi="Calibri" w:cs="Calibri"/>
          <w:b/>
          <w:bCs/>
          <w:lang w:val="en-US"/>
        </w:rPr>
        <w:t>words:</w:t>
      </w:r>
      <w:r w:rsidRPr="00205952">
        <w:rPr>
          <w:rFonts w:ascii="Calibri" w:hAnsi="Calibri" w:cs="Calibri"/>
          <w:lang w:val="en-US"/>
        </w:rPr>
        <w:t xml:space="preserve"> Corporate governance, goodwill impairment, path analysis.</w:t>
      </w:r>
      <w:r w:rsidRPr="00205952">
        <w:rPr>
          <w:rFonts w:ascii="Calibri" w:hAnsi="Calibri" w:cs="Calibri"/>
          <w:lang w:val="en-US"/>
        </w:rPr>
        <w:t xml:space="preserve"> </w:t>
      </w:r>
      <w:r w:rsidRPr="00205952">
        <w:rPr>
          <w:rFonts w:ascii="Calibri" w:hAnsi="Calibri" w:cs="Calibri"/>
          <w:lang w:val="en-US"/>
        </w:rPr>
        <w:br/>
      </w:r>
    </w:p>
    <w:p w14:paraId="2C62CAA8" w14:textId="6FF6F8DA" w:rsidR="00EF56AB" w:rsidRPr="00205952" w:rsidRDefault="00205952" w:rsidP="00205952">
      <w:pPr>
        <w:jc w:val="both"/>
        <w:rPr>
          <w:rFonts w:ascii="Calibri" w:hAnsi="Calibri" w:cs="Calibri"/>
          <w:lang w:val="en-US"/>
        </w:rPr>
      </w:pPr>
      <w:r w:rsidRPr="00205952">
        <w:rPr>
          <w:rFonts w:ascii="Calibri" w:hAnsi="Calibri" w:cs="Calibri"/>
          <w:b/>
          <w:bCs/>
          <w:lang w:val="en-US"/>
        </w:rPr>
        <w:t>JEL codes:</w:t>
      </w:r>
      <w:r w:rsidRPr="00205952">
        <w:rPr>
          <w:rFonts w:ascii="Calibri" w:hAnsi="Calibri" w:cs="Calibri"/>
          <w:lang w:val="en-US"/>
        </w:rPr>
        <w:t xml:space="preserve"> M10, M41, M42, M48, N24</w:t>
      </w:r>
    </w:p>
    <w:sectPr w:rsidR="00EF56AB" w:rsidRPr="0020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52"/>
    <w:rsid w:val="001B0B70"/>
    <w:rsid w:val="00205952"/>
    <w:rsid w:val="008553C4"/>
    <w:rsid w:val="00960CA5"/>
    <w:rsid w:val="00E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AAC44"/>
  <w15:chartTrackingRefBased/>
  <w15:docId w15:val="{0898F73C-E082-4567-8D15-E388A9B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59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59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59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9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59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9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59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59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59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9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59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9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59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059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5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59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59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059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59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059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059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9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9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059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1375</Characters>
  <Application>Microsoft Office Word</Application>
  <DocSecurity>0</DocSecurity>
  <Lines>22</Lines>
  <Paragraphs>9</Paragraphs>
  <ScaleCrop>false</ScaleCrop>
  <Company>Społeczna Akademia Nauk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2</cp:revision>
  <dcterms:created xsi:type="dcterms:W3CDTF">2024-04-24T09:27:00Z</dcterms:created>
  <dcterms:modified xsi:type="dcterms:W3CDTF">2024-04-24T09:29:00Z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070c4855-3ac8-4f93-bd8b-87d8666c007e</vt:lpwstr>
  </property>
</Properties>
</file>