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F0" w:rsidRPr="001D62F0" w:rsidRDefault="001D62F0" w:rsidP="001D62F0">
      <w:pPr>
        <w:autoSpaceDE w:val="0"/>
        <w:autoSpaceDN w:val="0"/>
        <w:adjustRightInd w:val="0"/>
        <w:spacing w:before="340" w:after="40" w:line="241" w:lineRule="atLeast"/>
        <w:jc w:val="both"/>
        <w:rPr>
          <w:rFonts w:ascii="Calibri" w:hAnsi="Calibri" w:cs="Calibri"/>
          <w:b/>
          <w:bCs/>
          <w:sz w:val="23"/>
          <w:szCs w:val="23"/>
          <w:lang w:val="en-US"/>
        </w:rPr>
      </w:pPr>
      <w:r w:rsidRPr="001D62F0">
        <w:rPr>
          <w:rFonts w:ascii="Calibri" w:hAnsi="Calibri" w:cs="Calibri"/>
          <w:b/>
          <w:bCs/>
          <w:sz w:val="23"/>
          <w:szCs w:val="23"/>
          <w:lang w:val="en-US"/>
        </w:rPr>
        <w:t xml:space="preserve">ABSTRACT </w:t>
      </w:r>
    </w:p>
    <w:p w:rsidR="00D561DA" w:rsidRDefault="00D561DA" w:rsidP="00D561DA">
      <w:pPr>
        <w:autoSpaceDE w:val="0"/>
        <w:autoSpaceDN w:val="0"/>
        <w:adjustRightInd w:val="0"/>
        <w:spacing w:before="40" w:after="0" w:line="221" w:lineRule="atLeast"/>
        <w:jc w:val="both"/>
        <w:rPr>
          <w:rFonts w:ascii="Calibri" w:hAnsi="Calibri" w:cs="Calibri"/>
          <w:sz w:val="23"/>
          <w:szCs w:val="23"/>
          <w:lang w:val="en-US"/>
        </w:rPr>
      </w:pPr>
    </w:p>
    <w:p w:rsidR="00251E72" w:rsidRDefault="00251E72" w:rsidP="00251E72">
      <w:pPr>
        <w:autoSpaceDE w:val="0"/>
        <w:autoSpaceDN w:val="0"/>
        <w:adjustRightInd w:val="0"/>
        <w:spacing w:before="40" w:after="0" w:line="221" w:lineRule="atLeast"/>
        <w:jc w:val="both"/>
        <w:rPr>
          <w:rFonts w:ascii="Calibri Light" w:hAnsi="Calibri Light" w:cs="Calibri Light"/>
          <w:color w:val="211D1E"/>
          <w:lang w:val="en-US"/>
        </w:rPr>
      </w:pPr>
      <w:r w:rsidRPr="00251E72">
        <w:rPr>
          <w:rFonts w:ascii="Calibri" w:hAnsi="Calibri" w:cs="Calibri"/>
          <w:b/>
          <w:bCs/>
          <w:lang w:val="en-US"/>
        </w:rPr>
        <w:t xml:space="preserve">Objective: </w:t>
      </w:r>
      <w:r w:rsidRPr="00251E72">
        <w:rPr>
          <w:rFonts w:ascii="Calibri Light" w:hAnsi="Calibri Light" w:cs="Calibri Light"/>
          <w:color w:val="211D1E"/>
          <w:lang w:val="en-US"/>
        </w:rPr>
        <w:t>This study examines sustainability disclosure by 50 British compa</w:t>
      </w:r>
      <w:r w:rsidRPr="00251E72">
        <w:rPr>
          <w:rFonts w:ascii="Calibri Light" w:hAnsi="Calibri Light" w:cs="Calibri Light"/>
          <w:color w:val="211D1E"/>
          <w:lang w:val="en-US"/>
        </w:rPr>
        <w:softHyphen/>
        <w:t>nies from FTSE 100 and compares reporting via traditional sources and on Twit</w:t>
      </w:r>
      <w:r w:rsidRPr="00251E72">
        <w:rPr>
          <w:rFonts w:ascii="Calibri Light" w:hAnsi="Calibri Light" w:cs="Calibri Light"/>
          <w:color w:val="211D1E"/>
          <w:lang w:val="en-US"/>
        </w:rPr>
        <w:softHyphen/>
        <w:t>ter by indicating whether the content in two various disclosure channels is of substitutionary or complementary nature.</w:t>
      </w:r>
    </w:p>
    <w:p w:rsidR="00251E72" w:rsidRPr="00251E72" w:rsidRDefault="00251E72" w:rsidP="00251E72">
      <w:pPr>
        <w:autoSpaceDE w:val="0"/>
        <w:autoSpaceDN w:val="0"/>
        <w:adjustRightInd w:val="0"/>
        <w:spacing w:before="40" w:after="0" w:line="221" w:lineRule="atLeast"/>
        <w:jc w:val="both"/>
        <w:rPr>
          <w:rFonts w:ascii="Calibri Light" w:hAnsi="Calibri Light" w:cs="Calibri Light"/>
          <w:color w:val="211D1E"/>
          <w:lang w:val="en-US"/>
        </w:rPr>
      </w:pPr>
    </w:p>
    <w:p w:rsidR="00251E72" w:rsidRDefault="00251E72" w:rsidP="00251E72">
      <w:pPr>
        <w:autoSpaceDE w:val="0"/>
        <w:autoSpaceDN w:val="0"/>
        <w:adjustRightInd w:val="0"/>
        <w:spacing w:before="40" w:after="0" w:line="221" w:lineRule="atLeast"/>
        <w:jc w:val="both"/>
        <w:rPr>
          <w:rFonts w:ascii="Calibri Light" w:hAnsi="Calibri Light" w:cs="Calibri Light"/>
          <w:color w:val="211D1E"/>
          <w:lang w:val="en-US"/>
        </w:rPr>
      </w:pPr>
      <w:r w:rsidRPr="00251E72">
        <w:rPr>
          <w:rFonts w:ascii="Calibri" w:hAnsi="Calibri" w:cs="Calibri"/>
          <w:b/>
          <w:bCs/>
          <w:lang w:val="en-US"/>
        </w:rPr>
        <w:t xml:space="preserve">Methodology: </w:t>
      </w:r>
      <w:r w:rsidRPr="00251E72">
        <w:rPr>
          <w:rFonts w:ascii="Calibri Light" w:hAnsi="Calibri Light" w:cs="Calibri Light"/>
          <w:color w:val="211D1E"/>
          <w:lang w:val="en-US"/>
        </w:rPr>
        <w:t xml:space="preserve">A content analysis on more than 20,000 tweets was performed to examine sustainability disclosure practices which were compared with Bloomberg </w:t>
      </w:r>
      <w:proofErr w:type="spellStart"/>
      <w:r w:rsidRPr="00251E72">
        <w:rPr>
          <w:rFonts w:ascii="Calibri Light" w:hAnsi="Calibri Light" w:cs="Calibri Light"/>
          <w:color w:val="211D1E"/>
          <w:lang w:val="en-US"/>
        </w:rPr>
        <w:t>ESG</w:t>
      </w:r>
      <w:proofErr w:type="spellEnd"/>
      <w:r w:rsidRPr="00251E72">
        <w:rPr>
          <w:rFonts w:ascii="Calibri Light" w:hAnsi="Calibri Light" w:cs="Calibri Light"/>
          <w:color w:val="211D1E"/>
          <w:lang w:val="en-US"/>
        </w:rPr>
        <w:t xml:space="preserve"> scores for each studied company.</w:t>
      </w:r>
    </w:p>
    <w:p w:rsidR="00251E72" w:rsidRPr="00251E72" w:rsidRDefault="00251E72" w:rsidP="00251E72">
      <w:pPr>
        <w:autoSpaceDE w:val="0"/>
        <w:autoSpaceDN w:val="0"/>
        <w:adjustRightInd w:val="0"/>
        <w:spacing w:before="40" w:after="0" w:line="221" w:lineRule="atLeast"/>
        <w:jc w:val="both"/>
        <w:rPr>
          <w:rFonts w:ascii="Calibri Light" w:hAnsi="Calibri Light" w:cs="Calibri Light"/>
          <w:color w:val="211D1E"/>
          <w:lang w:val="en-US"/>
        </w:rPr>
      </w:pPr>
    </w:p>
    <w:p w:rsidR="00251E72" w:rsidRDefault="00251E72" w:rsidP="00251E72">
      <w:pPr>
        <w:autoSpaceDE w:val="0"/>
        <w:autoSpaceDN w:val="0"/>
        <w:adjustRightInd w:val="0"/>
        <w:spacing w:before="40" w:after="0" w:line="221" w:lineRule="atLeast"/>
        <w:jc w:val="both"/>
        <w:rPr>
          <w:rFonts w:ascii="Calibri Light" w:hAnsi="Calibri Light" w:cs="Calibri Light"/>
          <w:color w:val="211D1E"/>
          <w:lang w:val="en-US"/>
        </w:rPr>
      </w:pPr>
      <w:r w:rsidRPr="00251E72">
        <w:rPr>
          <w:rFonts w:ascii="Calibri" w:hAnsi="Calibri" w:cs="Calibri"/>
          <w:b/>
          <w:bCs/>
          <w:lang w:val="en-US"/>
        </w:rPr>
        <w:t xml:space="preserve">Findings: </w:t>
      </w:r>
      <w:r w:rsidRPr="00251E72">
        <w:rPr>
          <w:rFonts w:ascii="Calibri Light" w:hAnsi="Calibri Light" w:cs="Calibri Light"/>
          <w:color w:val="211D1E"/>
          <w:lang w:val="en-US"/>
        </w:rPr>
        <w:t>On the general level of sustainability division into three pillars (Envi</w:t>
      </w:r>
      <w:r w:rsidRPr="00251E72">
        <w:rPr>
          <w:rFonts w:ascii="Calibri Light" w:hAnsi="Calibri Light" w:cs="Calibri Light"/>
          <w:color w:val="211D1E"/>
          <w:lang w:val="en-US"/>
        </w:rPr>
        <w:softHyphen/>
        <w:t>ronment, Social and Governance), it can be observed that social media reporting provides complementary information. Whereas, the disclosure of environmental issues via traditional sources was relatively poor, the reporting of environmen</w:t>
      </w:r>
      <w:r w:rsidRPr="00251E72">
        <w:rPr>
          <w:rFonts w:ascii="Calibri Light" w:hAnsi="Calibri Light" w:cs="Calibri Light"/>
          <w:color w:val="211D1E"/>
          <w:lang w:val="en-US"/>
        </w:rPr>
        <w:softHyphen/>
        <w:t xml:space="preserve">tal information in social media performed best. However, with the division on </w:t>
      </w:r>
      <w:proofErr w:type="spellStart"/>
      <w:r w:rsidRPr="00251E72">
        <w:rPr>
          <w:rFonts w:ascii="Calibri Light" w:hAnsi="Calibri Light" w:cs="Calibri Light"/>
          <w:color w:val="211D1E"/>
          <w:lang w:val="en-US"/>
        </w:rPr>
        <w:t>ESG</w:t>
      </w:r>
      <w:proofErr w:type="spellEnd"/>
      <w:r w:rsidRPr="00251E72">
        <w:rPr>
          <w:rFonts w:ascii="Calibri Light" w:hAnsi="Calibri Light" w:cs="Calibri Light"/>
          <w:color w:val="211D1E"/>
          <w:lang w:val="en-US"/>
        </w:rPr>
        <w:t xml:space="preserve"> sub-pillars, the picture is not that clear. Most of the poorly performed </w:t>
      </w:r>
      <w:proofErr w:type="spellStart"/>
      <w:r w:rsidRPr="00251E72">
        <w:rPr>
          <w:rFonts w:ascii="Calibri Light" w:hAnsi="Calibri Light" w:cs="Calibri Light"/>
          <w:color w:val="211D1E"/>
          <w:lang w:val="en-US"/>
        </w:rPr>
        <w:t>ESG</w:t>
      </w:r>
      <w:proofErr w:type="spellEnd"/>
      <w:r w:rsidRPr="00251E72">
        <w:rPr>
          <w:rFonts w:ascii="Calibri Light" w:hAnsi="Calibri Light" w:cs="Calibri Light"/>
          <w:color w:val="211D1E"/>
          <w:lang w:val="en-US"/>
        </w:rPr>
        <w:t xml:space="preserve"> sub-pillars in traditional </w:t>
      </w:r>
      <w:proofErr w:type="gramStart"/>
      <w:r w:rsidRPr="00251E72">
        <w:rPr>
          <w:rFonts w:ascii="Calibri Light" w:hAnsi="Calibri Light" w:cs="Calibri Light"/>
          <w:color w:val="211D1E"/>
          <w:lang w:val="en-US"/>
        </w:rPr>
        <w:t>reporting,</w:t>
      </w:r>
      <w:proofErr w:type="gramEnd"/>
      <w:r w:rsidRPr="00251E72">
        <w:rPr>
          <w:rFonts w:ascii="Calibri Light" w:hAnsi="Calibri Light" w:cs="Calibri Light"/>
          <w:color w:val="211D1E"/>
          <w:lang w:val="en-US"/>
        </w:rPr>
        <w:t xml:space="preserve"> were also poorly reported in social media.</w:t>
      </w:r>
    </w:p>
    <w:p w:rsidR="00251E72" w:rsidRPr="00251E72" w:rsidRDefault="00251E72" w:rsidP="00251E72">
      <w:pPr>
        <w:autoSpaceDE w:val="0"/>
        <w:autoSpaceDN w:val="0"/>
        <w:adjustRightInd w:val="0"/>
        <w:spacing w:before="40" w:after="0" w:line="221" w:lineRule="atLeast"/>
        <w:jc w:val="both"/>
        <w:rPr>
          <w:rFonts w:ascii="Calibri Light" w:hAnsi="Calibri Light" w:cs="Calibri Light"/>
          <w:color w:val="211D1E"/>
          <w:lang w:val="en-US"/>
        </w:rPr>
      </w:pPr>
    </w:p>
    <w:p w:rsidR="00251E72" w:rsidRDefault="00251E72" w:rsidP="00251E72">
      <w:pPr>
        <w:autoSpaceDE w:val="0"/>
        <w:autoSpaceDN w:val="0"/>
        <w:adjustRightInd w:val="0"/>
        <w:spacing w:before="40" w:after="0" w:line="221" w:lineRule="atLeast"/>
        <w:jc w:val="both"/>
        <w:rPr>
          <w:rFonts w:ascii="Calibri Light" w:hAnsi="Calibri Light" w:cs="Calibri Light"/>
          <w:color w:val="211D1E"/>
          <w:lang w:val="en-US"/>
        </w:rPr>
      </w:pPr>
      <w:r w:rsidRPr="00251E72">
        <w:rPr>
          <w:rFonts w:ascii="Calibri" w:hAnsi="Calibri" w:cs="Calibri"/>
          <w:b/>
          <w:bCs/>
          <w:lang w:val="en-US"/>
        </w:rPr>
        <w:t xml:space="preserve">Value Added: </w:t>
      </w:r>
      <w:r w:rsidRPr="00251E72">
        <w:rPr>
          <w:rFonts w:ascii="Calibri Light" w:hAnsi="Calibri Light" w:cs="Calibri Light"/>
          <w:color w:val="211D1E"/>
          <w:lang w:val="en-US"/>
        </w:rPr>
        <w:t>This article is a response to the call for studies on non-financial disclosure via social media, which is strongly highlighted in the recent literature concerning future research. Additionally, a comparative analysis with the re</w:t>
      </w:r>
      <w:r w:rsidRPr="00251E72">
        <w:rPr>
          <w:rFonts w:ascii="Calibri Light" w:hAnsi="Calibri Light" w:cs="Calibri Light"/>
          <w:color w:val="211D1E"/>
          <w:lang w:val="en-US"/>
        </w:rPr>
        <w:softHyphen/>
        <w:t>porting by traditional, well-studied channels was performed.</w:t>
      </w:r>
    </w:p>
    <w:p w:rsidR="00251E72" w:rsidRPr="00251E72" w:rsidRDefault="00251E72" w:rsidP="00251E72">
      <w:pPr>
        <w:autoSpaceDE w:val="0"/>
        <w:autoSpaceDN w:val="0"/>
        <w:adjustRightInd w:val="0"/>
        <w:spacing w:before="40" w:after="0" w:line="221" w:lineRule="atLeast"/>
        <w:jc w:val="both"/>
        <w:rPr>
          <w:rFonts w:ascii="Calibri Light" w:hAnsi="Calibri Light" w:cs="Calibri Light"/>
          <w:color w:val="211D1E"/>
          <w:lang w:val="en-US"/>
        </w:rPr>
      </w:pPr>
    </w:p>
    <w:p w:rsidR="00567C57" w:rsidRPr="00251E72" w:rsidRDefault="00251E72" w:rsidP="00251E72">
      <w:pPr>
        <w:rPr>
          <w:lang w:val="en-US"/>
        </w:rPr>
      </w:pPr>
      <w:bookmarkStart w:id="0" w:name="_GoBack"/>
      <w:r w:rsidRPr="00251E72">
        <w:rPr>
          <w:rFonts w:ascii="Calibri" w:hAnsi="Calibri" w:cs="Calibri"/>
          <w:b/>
          <w:bCs/>
          <w:lang w:val="en-US"/>
        </w:rPr>
        <w:t xml:space="preserve">Recommendations: </w:t>
      </w:r>
      <w:bookmarkEnd w:id="0"/>
      <w:r w:rsidRPr="00251E72">
        <w:rPr>
          <w:rFonts w:ascii="Calibri Light" w:hAnsi="Calibri Light" w:cs="Calibri Light"/>
          <w:color w:val="211D1E"/>
          <w:lang w:val="en-US"/>
        </w:rPr>
        <w:t>This study offers an understanding of the British compa</w:t>
      </w:r>
      <w:r w:rsidRPr="00251E72">
        <w:rPr>
          <w:rFonts w:ascii="Calibri Light" w:hAnsi="Calibri Light" w:cs="Calibri Light"/>
          <w:color w:val="211D1E"/>
          <w:lang w:val="en-US"/>
        </w:rPr>
        <w:softHyphen/>
        <w:t xml:space="preserve">nies’ corporate practices </w:t>
      </w:r>
      <w:proofErr w:type="gramStart"/>
      <w:r w:rsidRPr="00251E72">
        <w:rPr>
          <w:rFonts w:ascii="Calibri Light" w:hAnsi="Calibri Light" w:cs="Calibri Light"/>
          <w:color w:val="211D1E"/>
          <w:lang w:val="en-US"/>
        </w:rPr>
        <w:t>that</w:t>
      </w:r>
      <w:proofErr w:type="gramEnd"/>
      <w:r w:rsidRPr="00251E72">
        <w:rPr>
          <w:rFonts w:ascii="Calibri Light" w:hAnsi="Calibri Light" w:cs="Calibri Light"/>
          <w:color w:val="211D1E"/>
          <w:lang w:val="en-US"/>
        </w:rPr>
        <w:t xml:space="preserve"> refer to sustainability disclosure by traditional channels and via social media. Hence, it has implications for organizations in the creation and use of communication channels when developing a dialogue with stakeholders on topics regarding sustainability.</w:t>
      </w:r>
    </w:p>
    <w:sectPr w:rsidR="00567C57" w:rsidRPr="0025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E9"/>
    <w:rsid w:val="00050C66"/>
    <w:rsid w:val="001D62F0"/>
    <w:rsid w:val="00251E72"/>
    <w:rsid w:val="004D50C6"/>
    <w:rsid w:val="00567C57"/>
    <w:rsid w:val="0070237A"/>
    <w:rsid w:val="00867AB1"/>
    <w:rsid w:val="008F325E"/>
    <w:rsid w:val="00D561DA"/>
    <w:rsid w:val="00F8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50C66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50C66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9</cp:revision>
  <dcterms:created xsi:type="dcterms:W3CDTF">2023-03-08T12:56:00Z</dcterms:created>
  <dcterms:modified xsi:type="dcterms:W3CDTF">2023-03-08T13:21:00Z</dcterms:modified>
</cp:coreProperties>
</file>