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7038AB" w:rsidRDefault="007038AB" w:rsidP="007038AB">
      <w:pPr>
        <w:pStyle w:val="Abstract"/>
        <w:rPr>
          <w:rFonts w:asciiTheme="majorHAnsi" w:hAnsiTheme="majorHAnsi" w:cstheme="majorHAnsi"/>
        </w:rPr>
      </w:pPr>
      <w:bookmarkStart w:id="0" w:name="_GoBack"/>
      <w:r w:rsidRPr="007038AB">
        <w:rPr>
          <w:rFonts w:asciiTheme="majorHAnsi" w:hAnsiTheme="majorHAnsi" w:cstheme="majorHAnsi"/>
          <w:bCs/>
          <w:lang w:val="pl-PL"/>
        </w:rPr>
        <w:t>The main goal of this paper is to contribute to a better understanding of intercultural aspects affecting cross-border knowledge flow in MNCs by recognizing similarities and differences pertaining to the practices supporting such flow in 200 Polish-based subsidiaries grouped into clusters according to ‘national’ origin of parentcompany2. Analyses of data collected in 2014 encompassed descriptive statistics, and in-pair comparisons. Significant differences were identified by a Kruskall-Wallis test, ChiSquare Test, and a UMW test. Results suggest that such a flow was supported mainly by discussions via ICT and access to databases. Significant differences between clusters were found for usage of e-learning programs, e-mentoring/e-coaching, virtual teams, and HRM practices.</w:t>
      </w:r>
      <w:bookmarkEnd w:id="0"/>
    </w:p>
    <w:sectPr w:rsidR="009D7FD6" w:rsidRPr="007038AB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4B" w:rsidRDefault="00EE154B" w:rsidP="000D20E6">
      <w:pPr>
        <w:spacing w:after="0" w:line="240" w:lineRule="auto"/>
      </w:pPr>
      <w:r>
        <w:separator/>
      </w:r>
    </w:p>
  </w:endnote>
  <w:endnote w:type="continuationSeparator" w:id="0">
    <w:p w:rsidR="00EE154B" w:rsidRDefault="00EE154B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4B" w:rsidRDefault="00EE154B" w:rsidP="000D20E6">
      <w:pPr>
        <w:spacing w:after="0" w:line="240" w:lineRule="auto"/>
      </w:pPr>
      <w:r>
        <w:separator/>
      </w:r>
    </w:p>
  </w:footnote>
  <w:footnote w:type="continuationSeparator" w:id="0">
    <w:p w:rsidR="00EE154B" w:rsidRDefault="00EE154B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4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038AB"/>
    <w:rsid w:val="00761E0A"/>
    <w:rsid w:val="00841D99"/>
    <w:rsid w:val="008742FB"/>
    <w:rsid w:val="008922F4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EE154B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0C8B8-A8FB-4298-92AC-48001A00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87FA-CF2B-42F3-91ED-B44EDCC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2020-07-17T10:41:00Z</dcterms:created>
  <dcterms:modified xsi:type="dcterms:W3CDTF">2020-07-17T10:41:00Z</dcterms:modified>
</cp:coreProperties>
</file>