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8F57D3" w:rsidRDefault="008F57D3" w:rsidP="008F57D3">
      <w:pPr>
        <w:pStyle w:val="Abstract"/>
        <w:rPr>
          <w:rFonts w:asciiTheme="majorHAnsi" w:hAnsiTheme="majorHAnsi" w:cstheme="majorHAnsi"/>
          <w:bCs/>
          <w:lang w:val="pl-PL"/>
        </w:rPr>
      </w:pPr>
      <w:bookmarkStart w:id="0" w:name="_GoBack"/>
      <w:r w:rsidRPr="008F57D3">
        <w:rPr>
          <w:rFonts w:asciiTheme="majorHAnsi" w:hAnsiTheme="majorHAnsi" w:cstheme="majorHAnsi"/>
          <w:bCs/>
          <w:lang w:val="pl-PL"/>
        </w:rPr>
        <w:t>Competencies are a set of distinctive resources and opportunities. They relate to specific capabilities of management and to performance of management methods. In the catalogue of existing managerial competencies, an increasingly important role is played by trust. The deep insight in this field of literature gives grounds for the inference that trust is rather a means to achieve public organisations’ goals, than being the end in itself. Therefore in this article we have assumed, that contemporary competencies, to a large degree, rely on trust which is rationally and relationally rooted.</w:t>
      </w:r>
    </w:p>
    <w:p w:rsidR="008F57D3" w:rsidRPr="008F57D3" w:rsidRDefault="008F57D3" w:rsidP="008F57D3">
      <w:pPr>
        <w:pStyle w:val="Abstract"/>
        <w:rPr>
          <w:rFonts w:asciiTheme="majorHAnsi" w:hAnsiTheme="majorHAnsi" w:cstheme="majorHAnsi"/>
        </w:rPr>
      </w:pPr>
      <w:r w:rsidRPr="008F57D3">
        <w:rPr>
          <w:rFonts w:asciiTheme="majorHAnsi" w:hAnsiTheme="majorHAnsi" w:cstheme="majorHAnsi"/>
        </w:rPr>
        <w:t>The main aim of this paper isto identify and evaluate components of trust with reference to the competences of publicmanagersmirrored in their new profiles. To achieve the goal of the article, publications of the field of organisational studies and public management which aim to show the importance of creating trust within an organisation were reviewed to identify main managerial competences analysed in the context of public trust as an important factor of improving public organisations. Moreover, the results of a survey with 93 respondents carried out in 2014 in 8 units of local public administration from the Malopolska Region were used. As a result the main components of trust in new public managers’ profiles have been identified and assessed.</w:t>
      </w:r>
      <w:bookmarkEnd w:id="0"/>
    </w:p>
    <w:sectPr w:rsidR="008F57D3" w:rsidRPr="008F57D3"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D32" w:rsidRDefault="00B12D32" w:rsidP="000D20E6">
      <w:pPr>
        <w:spacing w:after="0" w:line="240" w:lineRule="auto"/>
      </w:pPr>
      <w:r>
        <w:separator/>
      </w:r>
    </w:p>
  </w:endnote>
  <w:endnote w:type="continuationSeparator" w:id="0">
    <w:p w:rsidR="00B12D32" w:rsidRDefault="00B12D32"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altName w:val="Arial"/>
    <w:panose1 w:val="00000000000000000000"/>
    <w:charset w:val="00"/>
    <w:family w:val="modern"/>
    <w:notTrueType/>
    <w:pitch w:val="variable"/>
    <w:sig w:usb0="00000001"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D32" w:rsidRDefault="00B12D32" w:rsidP="000D20E6">
      <w:pPr>
        <w:spacing w:after="0" w:line="240" w:lineRule="auto"/>
      </w:pPr>
      <w:r>
        <w:separator/>
      </w:r>
    </w:p>
  </w:footnote>
  <w:footnote w:type="continuationSeparator" w:id="0">
    <w:p w:rsidR="00B12D32" w:rsidRDefault="00B12D32"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D64"/>
    <w:rsid w:val="00061491"/>
    <w:rsid w:val="000D20E6"/>
    <w:rsid w:val="00144917"/>
    <w:rsid w:val="001B65C4"/>
    <w:rsid w:val="001D7A5D"/>
    <w:rsid w:val="002D4052"/>
    <w:rsid w:val="002E3D8C"/>
    <w:rsid w:val="003128B7"/>
    <w:rsid w:val="00367622"/>
    <w:rsid w:val="00393476"/>
    <w:rsid w:val="00545729"/>
    <w:rsid w:val="005516C6"/>
    <w:rsid w:val="00576F49"/>
    <w:rsid w:val="005854D9"/>
    <w:rsid w:val="006564B5"/>
    <w:rsid w:val="006A767F"/>
    <w:rsid w:val="00761E0A"/>
    <w:rsid w:val="00841D99"/>
    <w:rsid w:val="008742FB"/>
    <w:rsid w:val="008D07C4"/>
    <w:rsid w:val="008F57D3"/>
    <w:rsid w:val="00953099"/>
    <w:rsid w:val="009D7FD6"/>
    <w:rsid w:val="00A03AF0"/>
    <w:rsid w:val="00AF2690"/>
    <w:rsid w:val="00AF3D12"/>
    <w:rsid w:val="00AF4200"/>
    <w:rsid w:val="00B12D32"/>
    <w:rsid w:val="00B65D64"/>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49E4F"/>
  <w15:docId w15:val="{FAD66C80-10DA-4AD3-A083-693300F58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DF11D-11AF-4077-921E-ECE40EA7E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22</TotalTime>
  <Pages>1</Pages>
  <Words>194</Words>
  <Characters>1166</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2020-07-17T14:06:00Z</dcterms:created>
  <dcterms:modified xsi:type="dcterms:W3CDTF">2020-07-17T14:28:00Z</dcterms:modified>
</cp:coreProperties>
</file>